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Boden kommunfullmäktige</w:t>
      </w:r>
    </w:p>
    <w:p>
      <w:pPr>
        <w:pStyle w:val="Heading1"/>
      </w:pPr>
      <w:r>
        <w:t xml:space="preserve">Öka antalet behöriga lärare i grundskolan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Boden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Bodens meritvärde år 9 var 215 poäng 2024 enligt Kolada, under rikssnittet 230. Brist på behöriga lärare bidrar till ojämna resultat och högre läraromsättning. Tidiga insatser och fler lärare är avgörande för kunskapsutveckling.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Boden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antalet behöriga lärare med minst 15 heltidstjänster inom två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en särskild rekryteringsbonus för legitimerade lärare i årskurs 4–9.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2 miljoner kronor årligen för kompetensutveckling i läs- och skrivundervisning.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effekter på meritvärde i budgetuppföljningen 2027.</w:t>
      </w:r>
    </w:p>
    <w:p>
      <w:pPr>
        <w:spacing w:before="360"/>
      </w:pPr>
    </w:p>
    <w:p>
      <w:r>
        <w:t xml:space="preserve">Boden,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Boden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2026-07-14T02:26:54.355Z</dcterms:created>
  <dcterms:modified xsi:type="dcterms:W3CDTF">2026-07-14T02:26:54.355Z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